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078A1" w:rsidRPr="004E1735" w:rsidRDefault="004E1735" w:rsidP="004670FC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</w:pPr>
      <w:bookmarkStart w:id="0" w:name="_GoBack"/>
      <w:bookmarkEnd w:id="0"/>
      <w:r w:rsidRPr="004E1735">
        <w:rPr>
          <w:rFonts w:asciiTheme="minorHAnsi" w:eastAsia="Times New Roman" w:hAnsiTheme="minorHAnsi" w:cstheme="minorHAnsi"/>
          <w:b/>
          <w:bCs/>
          <w:sz w:val="24"/>
          <w:szCs w:val="24"/>
          <w:u w:val="single"/>
          <w:lang w:eastAsia="pl-PL"/>
        </w:rPr>
        <w:t>INFORMACJE DLA BENEFICJENTÓW</w:t>
      </w:r>
    </w:p>
    <w:p w:rsidR="004E1735" w:rsidRDefault="004670FC" w:rsidP="004E1735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Podnoszenie wartości produktów, tworzenie miejsc pracy, zachęcanie młodych ludzi i propagowanie innowacji na wszystkich etapach łańcucha dostaw produktów w sek</w:t>
      </w:r>
      <w:r w:rsidR="004E173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torze rybołówstwa i akwakultury.</w:t>
      </w:r>
    </w:p>
    <w:p w:rsidR="004670FC" w:rsidRPr="004670FC" w:rsidRDefault="004670FC" w:rsidP="004E1735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obejmuje:</w:t>
      </w:r>
    </w:p>
    <w:p w:rsidR="004670FC" w:rsidRPr="004670FC" w:rsidRDefault="004670FC" w:rsidP="004670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podnoszenie wartości produktów sektora rybołówstwa i akwakultury przez tworzenie lub rozwijanie łańcucha dostaw, obejmującego działalność związaną z produkcją, przetwarzaniem i obrotem produktami sektora rybołówstwa i akwakultury,</w:t>
      </w:r>
    </w:p>
    <w:p w:rsidR="004670FC" w:rsidRPr="004670FC" w:rsidRDefault="004670FC" w:rsidP="004670FC">
      <w:pPr>
        <w:numPr>
          <w:ilvl w:val="0"/>
          <w:numId w:val="1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wspieranie przedsiębiorczości lub innowacji młodych ludzi w łańcuchu dostaw, obejmującego działalność związaną z produkcją, przetwarzaniem i obrotem produktami sektora rybołówstwa i akwakultury.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jest przyznawana:</w:t>
      </w:r>
    </w:p>
    <w:p w:rsidR="004670FC" w:rsidRPr="004670FC" w:rsidRDefault="004670FC" w:rsidP="004670F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osobie fizycznej, osobie prawnej lub jednostce organizacyjnej nieposiadającej osobowości prawnej w przypadku operacji </w:t>
      </w:r>
      <w:r w:rsidRPr="004670FC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"podnoszenie wartości produktów sektora rybołówstwa i akwakultury przez tworzenie lub rozwijanie łańcucha dostaw, obejmującego działalność związaną z produkcją, przetwarzaniem i obrotem produktami sektora rybołówstwa i akwakultury",</w:t>
      </w:r>
    </w:p>
    <w:p w:rsidR="004670FC" w:rsidRPr="004670FC" w:rsidRDefault="004670FC" w:rsidP="004670F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osobie fizycznej, która w dniu składania wniosku o dofinansowanie nie ukończyła 40. roku życia – w przypadku operacji </w:t>
      </w:r>
      <w:r w:rsidRPr="004670FC">
        <w:rPr>
          <w:rFonts w:asciiTheme="minorHAnsi" w:eastAsia="Times New Roman" w:hAnsiTheme="minorHAnsi" w:cstheme="minorHAnsi"/>
          <w:i/>
          <w:iCs/>
          <w:sz w:val="24"/>
          <w:szCs w:val="24"/>
          <w:lang w:eastAsia="pl-PL"/>
        </w:rPr>
        <w:t>"wspieranie przedsiębiorczości lub innowacji młodych ludzi w łańcuchu dostaw, obejmującego działalność związaną z produkcją, przetwarzaniem i obrotem produktami sektora rybołówstwa i akwakultury",</w:t>
      </w:r>
    </w:p>
    <w:p w:rsidR="004670FC" w:rsidRPr="004670FC" w:rsidRDefault="004670FC" w:rsidP="004670F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w formie zwrotu kosztów kwalifikowalnych w wysokości do 50% tych kosztów,</w:t>
      </w:r>
    </w:p>
    <w:p w:rsidR="004670FC" w:rsidRPr="004670FC" w:rsidRDefault="004670FC" w:rsidP="004670F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wysokości limitu środków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stanowiącej równowartość w złotych określonej w programie operacyjnym kwoty środków EFMR przeznaczonych na pomoc, powiększonej o wysokość kwoty krajowych środków publicznych przeznaczonych na współfinansowanie tej pomocy, jednak 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nie więcej niż 300 000 zł na jednego wnioskodawcę,</w:t>
      </w:r>
    </w:p>
    <w:p w:rsidR="004670FC" w:rsidRPr="004670FC" w:rsidRDefault="004670FC" w:rsidP="004670FC">
      <w:pPr>
        <w:numPr>
          <w:ilvl w:val="0"/>
          <w:numId w:val="2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jeżeli operacja zakłada utworzenie lub utrzymanie co najmniej jednego miejsca pracy lub podjęcie działalności gospodarczej w rozumieniu przepisów o swobodzie działalności gospodarczej, i wynika to z celu realizowanej operacji.</w:t>
      </w:r>
    </w:p>
    <w:p w:rsidR="004670FC" w:rsidRPr="004670FC" w:rsidRDefault="004670FC" w:rsidP="004670FC">
      <w:pPr>
        <w:spacing w:line="276" w:lineRule="auto"/>
        <w:rPr>
          <w:rFonts w:asciiTheme="minorHAnsi" w:eastAsiaTheme="minorHAnsi" w:hAnsiTheme="minorHAnsi" w:cstheme="minorHAnsi"/>
          <w:sz w:val="24"/>
          <w:szCs w:val="24"/>
        </w:rPr>
      </w:pPr>
      <w:r w:rsidRPr="004670FC">
        <w:rPr>
          <w:rFonts w:asciiTheme="minorHAnsi" w:eastAsiaTheme="minorHAnsi" w:hAnsiTheme="minorHAnsi" w:cstheme="minorHAnsi"/>
          <w:sz w:val="24"/>
          <w:szCs w:val="24"/>
        </w:rPr>
        <w:br w:type="page"/>
      </w:r>
    </w:p>
    <w:p w:rsidR="004670FC" w:rsidRPr="004670FC" w:rsidRDefault="004670FC" w:rsidP="004670FC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Wspieranie różnicowania działalności w ramach rybołówstwa przemysłowego i poza nim, wspieranie uczenia się przez całe życie i tworzenie miejsc pracy na obszarach ry</w:t>
      </w:r>
      <w:r w:rsidR="004E173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backich i obszarach akwakultury.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obejmuje:</w:t>
      </w:r>
    </w:p>
    <w:p w:rsidR="004670FC" w:rsidRPr="004670FC" w:rsidRDefault="004670FC" w:rsidP="004670F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różnicowanie działalności lub dywersyfikację zatrudnienia osób wykonujących pracę związaną z sektorem rybołówstwa i akwakultury przez tworzenie lub utrzymanie miejsc pracy niezwiązanych z podstawową działalnością rybacką,</w:t>
      </w:r>
    </w:p>
    <w:p w:rsidR="004670FC" w:rsidRPr="004670FC" w:rsidRDefault="004670FC" w:rsidP="004670F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podejmowanie, wykonywanie lub rozwijanie działalności gospodarczej służącej rozwojowi obszarów rybackich i obszarów akwakultury,</w:t>
      </w:r>
    </w:p>
    <w:p w:rsidR="004670FC" w:rsidRPr="004670FC" w:rsidRDefault="004670FC" w:rsidP="004670FC">
      <w:pPr>
        <w:numPr>
          <w:ilvl w:val="0"/>
          <w:numId w:val="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wspieranie uczenia się osób związanych z sektorem rybołówstwa i akwakultury oraz wymianę przez takie osoby doświadczeń i dobrych praktyk.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jest przyznawana:</w:t>
      </w:r>
    </w:p>
    <w:p w:rsidR="004670FC" w:rsidRPr="004670FC" w:rsidRDefault="004670FC" w:rsidP="004670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osobie fizycznej, osobie prawnej lub jednostce organizacyjnej nieposiadającej osobowości prawnej</w:t>
      </w:r>
    </w:p>
    <w:p w:rsidR="004670FC" w:rsidRPr="004670FC" w:rsidRDefault="004670FC" w:rsidP="004670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w formie zwrotu kosztów kwalifikowalnych w wysokości 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do 50%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tych kosztów,</w:t>
      </w:r>
    </w:p>
    <w:p w:rsidR="004670FC" w:rsidRPr="004670FC" w:rsidRDefault="004670FC" w:rsidP="004670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wysokości limitu środków stanowiącej równowartość w złotych określonej w programie operacyjnym kwoty środków EFMR przeznaczonych na pomoc, powiększonej o wysokość kwoty krajowych środków publicznych przeznaczonych na współfinansowanie tej pomocy, jednak nie więcej niż 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300 000 zł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jednego wnioskodawcę,</w:t>
      </w:r>
    </w:p>
    <w:p w:rsidR="004670FC" w:rsidRPr="004670FC" w:rsidRDefault="004670FC" w:rsidP="004670FC">
      <w:pPr>
        <w:numPr>
          <w:ilvl w:val="0"/>
          <w:numId w:val="6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na operację, która zakłada utworzenie lub utrzymanie 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co najmniej jednego miejsca pracy lub podjęcie działalności gospodarczej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rozumieniu przepisów o swobodzie działalności gospodarczej, i wynika to z celu realizowanej operacji.</w:t>
      </w:r>
    </w:p>
    <w:p w:rsidR="004670FC" w:rsidRPr="004670FC" w:rsidRDefault="004670FC" w:rsidP="00FF4CFE">
      <w:pPr>
        <w:spacing w:before="100" w:beforeAutospacing="1" w:after="100" w:afterAutospacing="1"/>
        <w:ind w:left="600"/>
        <w:rPr>
          <w:rFonts w:asciiTheme="minorHAnsi" w:eastAsia="Times New Roman" w:hAnsiTheme="minorHAnsi" w:cstheme="minorHAnsi"/>
          <w:color w:val="002060"/>
          <w:sz w:val="24"/>
          <w:szCs w:val="24"/>
          <w:lang w:eastAsia="pl-PL"/>
        </w:rPr>
      </w:pPr>
    </w:p>
    <w:p w:rsidR="004670FC" w:rsidRPr="004670FC" w:rsidRDefault="004670FC" w:rsidP="004670FC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color w:val="002060"/>
          <w:sz w:val="24"/>
          <w:szCs w:val="36"/>
          <w:lang w:eastAsia="pl-PL"/>
        </w:rPr>
        <w:br w:type="page"/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 xml:space="preserve">Wspieranie i wykorzystywanie atutów środowiska na obszarach rybackich i obszarach akwakultury, w tym operacje na </w:t>
      </w:r>
      <w:r w:rsidR="004E173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rzecz łagodzenia zmiany klimatu.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obejmuje:</w:t>
      </w:r>
    </w:p>
    <w:p w:rsidR="004670FC" w:rsidRPr="004670FC" w:rsidRDefault="004670FC" w:rsidP="004670F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wspieranie atutów środowiska wodnego na obszarach rybackich i obszarach akwakultury przez przeciwdziałanie kłusownictwu</w:t>
      </w:r>
    </w:p>
    <w:p w:rsidR="004670FC" w:rsidRPr="004670FC" w:rsidRDefault="004670FC" w:rsidP="004670F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przywracanie lub zabezpieczanie potencjału produkcyjnego sektora rybołówstwa i akwakultury lub odtwarzanie pierwotnego stanu środowiska obszarów rybackich i obszarów akwakultury, w przypadku jego zniszczenia w wyniku zdarzeń noszących znamiona klęski żywiołowej lub szkody spowodowanej działalnością chronionych gatunków zwierząt,</w:t>
      </w:r>
    </w:p>
    <w:p w:rsidR="004670FC" w:rsidRPr="004670FC" w:rsidRDefault="004670FC" w:rsidP="004670F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odtwarzanie pierwotnego stanu środowiska wodnego przez </w:t>
      </w:r>
      <w:proofErr w:type="spellStart"/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renaturyzację</w:t>
      </w:r>
      <w:proofErr w:type="spellEnd"/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zbiorników wodnych i terenów przyległych do tych zbiorników, w przypadku jego zniszczenia w wyniku procesu eutrofizacji wód publicznych,</w:t>
      </w:r>
    </w:p>
    <w:p w:rsidR="004670FC" w:rsidRPr="004670FC" w:rsidRDefault="004670FC" w:rsidP="004670F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ochronę obszarów będących formami ochrony przyrody przez regulowanie ruchu turystycznego na obszarach cennych przyrodniczo,</w:t>
      </w:r>
    </w:p>
    <w:p w:rsidR="004670FC" w:rsidRPr="004670FC" w:rsidRDefault="004670FC" w:rsidP="004670FC">
      <w:pPr>
        <w:numPr>
          <w:ilvl w:val="0"/>
          <w:numId w:val="9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podejmowanie działań na rzecz ograniczenia negatywnych skutków zmian klimatycznych, tworzenie i rozwijanie instalacji odnawialnych źródeł energii, w rozumieniu przepisów o odnawialnych źródłach energii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jest przyznawana:</w:t>
      </w:r>
    </w:p>
    <w:p w:rsidR="004670FC" w:rsidRPr="004670FC" w:rsidRDefault="004670FC" w:rsidP="004670F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osobie fizycznej, osobie prawnej lub jednostce organizacyjnej nieposiadającej osobowości prawnej</w:t>
      </w:r>
    </w:p>
    <w:p w:rsidR="004670FC" w:rsidRPr="004670FC" w:rsidRDefault="004670FC" w:rsidP="004670F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zwrotu kosztów kwalifikowalnych w wysokości do 50% tych kosztów, a w przypadku gdy operacja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- jest w interesie zbiorowym, lub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- ma zbiorowego beneficjenta, lub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- projekt ma innowacyjne właściwości, w stosownych przypadkach, na szczeblu lokalnym - 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wysokości do 85% tych kosztów*,</w:t>
      </w:r>
    </w:p>
    <w:p w:rsidR="004670FC" w:rsidRPr="004670FC" w:rsidRDefault="004670FC" w:rsidP="004670FC">
      <w:pPr>
        <w:numPr>
          <w:ilvl w:val="0"/>
          <w:numId w:val="10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wysokości limitu środków stanowiącej równowartość w złotych określonej w programie operacyjnym kwoty środków EFMR przeznaczonych na pomoc, powiększonej o wysokość kwoty krajowych środków publicznych przeznaczonych na współfinansowanie tej pomocy, jednak nie więcej niż 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300 000 zł</w:t>
      </w:r>
      <w:r w:rsidR="002245C3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jednego wnioskodawcę.</w:t>
      </w:r>
    </w:p>
    <w:p w:rsidR="004670FC" w:rsidRPr="004670FC" w:rsidRDefault="004670FC" w:rsidP="004670FC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</w:pP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*Art.95 ust. 1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Państwa członkowskie stosują maksymalną intensywność pomocy publicznej w wysokości 50 % całkowitych kwalifikowalnych wydatków związanych z daną operacją.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*Art. 95 ust. 3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Na zasadzie odstępstwa od ust. 1 państwa członkowskie mogą stosować intensywność pomocy publicznej w wysokości między 50 % a 100 % całkowitych kwalifikowalnych wydatków gdy: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 xml:space="preserve">a) operację przeprowadza się na podstawie tytułu V rozdziały I, II, lub IV 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i spełnia ona wszystkie poniższe kryteria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: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(i) jest w interesie zbiorowym;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br/>
        <w:t>(ii) ma zbiorowego beneficjenta;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br/>
        <w:t>(iii) projekt ma innowacyjne właściwości, w stosownych przypadkach, na szczeblu lokalnym.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lastRenderedPageBreak/>
        <w:t xml:space="preserve">b) operację przeprowadza się na podstawie tytułu V rozdział III, spełnia ona jedno z kryteriów, o których mowa lit. a) </w:t>
      </w:r>
      <w:proofErr w:type="spellStart"/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ppkt</w:t>
      </w:r>
      <w:proofErr w:type="spellEnd"/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 xml:space="preserve"> (i), (ii) lub (iii) niniejszego ustępu, a także 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zapewnia publiczny dostęp do jej wyników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.</w:t>
      </w:r>
    </w:p>
    <w:p w:rsidR="004670FC" w:rsidRPr="004670FC" w:rsidRDefault="004670FC" w:rsidP="004670FC">
      <w:pPr>
        <w:spacing w:line="276" w:lineRule="auto"/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</w:pPr>
      <w:r w:rsidRPr="004670F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br w:type="page"/>
      </w:r>
    </w:p>
    <w:p w:rsidR="004670FC" w:rsidRPr="004670FC" w:rsidRDefault="004670FC" w:rsidP="004670FC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Propagowanie dobrostanu społecznego i dziedzictwa kulturowego na obszarach rybackich i obszarach akwakultury, w tym dziedzictwa kulturowego rybołówstwa i akwakultury oraz mo</w:t>
      </w:r>
      <w:r w:rsidR="004E173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rskiego dziedzictwa kulturowego.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obejmuje:</w:t>
      </w:r>
    </w:p>
    <w:p w:rsidR="004670FC" w:rsidRPr="004670FC" w:rsidRDefault="004670FC" w:rsidP="004670FC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tworzenie, rozwój oraz wyposażenie infrastruktury turystycznej i rekreacyjnej, przeznaczonej na użytek publiczny, historycznie lub terytorialnie związanej z działalnością rybacką,</w:t>
      </w:r>
    </w:p>
    <w:p w:rsidR="004670FC" w:rsidRPr="004670FC" w:rsidRDefault="004670FC" w:rsidP="004670FC">
      <w:pPr>
        <w:numPr>
          <w:ilvl w:val="0"/>
          <w:numId w:val="12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promowanie, zachowanie lub upowszechnianie dziedzictwa kulturowego rybołówstwa i akwakultury oraz morskiego dziedzictwa kulturowego.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jest przyznawana:</w:t>
      </w:r>
    </w:p>
    <w:p w:rsidR="004670FC" w:rsidRPr="004670FC" w:rsidRDefault="004670FC" w:rsidP="004670F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jednostkom samorządu terytorialnego i jednostkom organizacyjnym podległym tym jednostkom oraz organizacjom pozarządowym w rozumieniu przepisów o działalności pożytku publicznego i wolontariacie, których celem statutowym jest działalność na rzecz rozwoju sektora rybołówstwa i akwakultury,</w:t>
      </w:r>
    </w:p>
    <w:p w:rsidR="004670FC" w:rsidRPr="004670FC" w:rsidRDefault="004670FC" w:rsidP="004670F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zwrotu kosztów kwalifikowalnych w wysokości do 50% tych kosztów, a w przypadku gdy operacja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- jest w interesie zbiorowym, lub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- ma zbiorowego beneficjenta, lub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- projekt ma innowacyjne właściwości, w stosownych przypadkach, na szczeblu lokalnym - 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wysokości do 85% tych kosztów*,</w:t>
      </w:r>
    </w:p>
    <w:p w:rsidR="004670FC" w:rsidRPr="004670FC" w:rsidRDefault="004670FC" w:rsidP="004670FC">
      <w:pPr>
        <w:numPr>
          <w:ilvl w:val="0"/>
          <w:numId w:val="13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wysokości limitu środków stanowiącej równowartość w złotych określonej w programie operacyjnym kwoty środków EFMR przeznaczonych na pomoc, powiększonej o wysokość kwoty krajowych środków publicznych przeznaczonych na współfinansowanie tej pomocy, jednak nie więcej niż 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300 000 zł</w:t>
      </w:r>
      <w:r w:rsidR="007078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jednego wnioskodawcę.</w:t>
      </w:r>
    </w:p>
    <w:p w:rsidR="004670FC" w:rsidRPr="004670FC" w:rsidRDefault="004670FC" w:rsidP="004670FC">
      <w:pPr>
        <w:spacing w:before="100" w:beforeAutospacing="1" w:after="100" w:afterAutospacing="1"/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</w:pP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*Art.95 ust. 1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Państwa członkowskie stosują maksymalną intensywność pomocy publicznej w wysokości 50 % całkowitych kwalifikowalnych wydatków związanych z daną operacją.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*Art. 95 ust. 3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Na zasadzie odstępstwa od ust. 1 państwa członkowskie mogą stosować intensywność pomocy publicznej w wysokości między 50 % a 100 % całkowitych kwalifikowalnych wydatków gdy: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 xml:space="preserve">a) operację przeprowadza się na podstawie tytułu V rozdziały I, II, lub IV 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i spełnia ona wszystkie poniższe kryteria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: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(i) jest w interesie zbiorowym;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br/>
        <w:t>(ii) ma zbiorowego beneficjenta;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br/>
        <w:t>(iii) projekt ma innowacyjne właściwości, w stosownych przypadkach, na szczeblu lokalnym.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 xml:space="preserve">b) operację przeprowadza się na podstawie tytułu V rozdział III, spełnia ona jedno z kryteriów, o których mowa lit. a) </w:t>
      </w:r>
      <w:proofErr w:type="spellStart"/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ppkt</w:t>
      </w:r>
      <w:proofErr w:type="spellEnd"/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 xml:space="preserve"> (i), (ii) lub (iii) niniejszego ustępu, a także 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zapewnia publiczny dostęp do jej wyników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.</w:t>
      </w:r>
    </w:p>
    <w:p w:rsidR="004670FC" w:rsidRPr="004670FC" w:rsidRDefault="004670FC" w:rsidP="004670FC">
      <w:pPr>
        <w:spacing w:line="276" w:lineRule="auto"/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</w:pPr>
      <w:r w:rsidRPr="004670FC">
        <w:rPr>
          <w:rFonts w:asciiTheme="minorHAnsi" w:eastAsia="Times New Roman" w:hAnsiTheme="minorHAnsi" w:cstheme="minorHAnsi"/>
          <w:i/>
          <w:iCs/>
          <w:sz w:val="14"/>
          <w:szCs w:val="14"/>
          <w:lang w:eastAsia="pl-PL"/>
        </w:rPr>
        <w:br w:type="page"/>
      </w:r>
    </w:p>
    <w:p w:rsidR="004670FC" w:rsidRPr="004670FC" w:rsidRDefault="004670FC" w:rsidP="004670FC">
      <w:pPr>
        <w:spacing w:before="100" w:beforeAutospacing="1" w:after="100" w:afterAutospacing="1"/>
        <w:outlineLvl w:val="1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lastRenderedPageBreak/>
        <w:t>Powierzenie społecznościom rybackim ważniejszej roli w rozwoju lokalnym oraz zarządzaniu lokalnymi zasobami ryb</w:t>
      </w:r>
      <w:r w:rsidR="004E1735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ołówstwa i działalnością morską.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obejmuje:</w:t>
      </w:r>
    </w:p>
    <w:p w:rsidR="004670FC" w:rsidRPr="004670FC" w:rsidRDefault="004670FC" w:rsidP="004670FC">
      <w:pPr>
        <w:numPr>
          <w:ilvl w:val="0"/>
          <w:numId w:val="15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wspieranie dialogu społecznego i udziału lokalnych społeczności w badaniu zasobów rybołówstwa i zarządzaniu tymi zasobami.</w:t>
      </w:r>
    </w:p>
    <w:p w:rsidR="004670FC" w:rsidRPr="004670FC" w:rsidRDefault="004670FC" w:rsidP="004670FC">
      <w:pPr>
        <w:spacing w:before="100" w:beforeAutospacing="1" w:after="100" w:afterAutospacing="1"/>
        <w:outlineLvl w:val="2"/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Pomoc finansowa jest przyznawana:</w:t>
      </w:r>
    </w:p>
    <w:p w:rsidR="004670FC" w:rsidRPr="004670FC" w:rsidRDefault="004670FC" w:rsidP="004670FC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podmiotom prawa publicznego, o których mowa w art. 2 pkt 16 rozporządzenia Parlamentu Europejskiego i Rady (UE) nr 1303/2013 z dnia 17 grudnia 2013 r. ustanawiającego wspólne przepisy dotyczące Europejskiego Funduszu Rozwoju Regionalnego, Europejskiego Funduszu Społecznego, Funduszu Spójności, Europejskiego Funduszu Rolnego na rzecz Rozwoju Obszarów Wiejskich oraz Europejskiego Funduszu Morskiego i Rybackiego oraz ustanawiającego przepisy ogólne dotyczące Europejskiego Funduszu Rozwoju Regionalnego, Europejskiego Funduszu Społecznego, Funduszu Spójności i Europejskiego Funduszu Morskiego i Rybackiego oraz uchylającego rozporządzenie Rady (WE) nr 1083/2006, zwanego dalej „rozporządzeniem nr 1303/2013”, instytutom badawczym, w rozumieniu przepisów o instytutach badawczych, uczelniom, w rozumieniu przepisów prawa o szkolnictwie wyższym, oraz organizacjom pozarządowym, w rozumieniu przepisów o działalności pożytku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  <w:t>publicznego i wolontariacie, których celem statutowym jest działalność na rzecz rozwoju sektora rybołówstwa i akwakultury,</w:t>
      </w:r>
    </w:p>
    <w:p w:rsidR="004670FC" w:rsidRPr="004670FC" w:rsidRDefault="004670FC" w:rsidP="004670FC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>w formie zwrotu kosztów kwalifikowalnych w wysokości do 50% tych kosztów, a w przypadku gdy operacja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br/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- jest w interesie zbiorowym, lub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- ma zbiorowego beneficjenta, lub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br/>
        <w:t>- projekt ma innowacyjne właściwości, w stosownych przypadkach, na szczeblu lokalnym - </w:t>
      </w: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w wysokości do 85% tych kosztów*,</w:t>
      </w:r>
    </w:p>
    <w:p w:rsidR="004670FC" w:rsidRPr="004670FC" w:rsidRDefault="004670FC" w:rsidP="004670FC">
      <w:pPr>
        <w:numPr>
          <w:ilvl w:val="0"/>
          <w:numId w:val="16"/>
        </w:numPr>
        <w:spacing w:before="100" w:beforeAutospacing="1" w:after="100" w:afterAutospacing="1" w:line="276" w:lineRule="auto"/>
        <w:rPr>
          <w:rFonts w:asciiTheme="minorHAnsi" w:eastAsia="Times New Roman" w:hAnsiTheme="minorHAnsi" w:cstheme="minorHAnsi"/>
          <w:sz w:val="24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do wysokości limitu środków stanowiącej równowartość w złotych określonej w programie operacyjnym kwoty środków EFMR przeznaczonych na pomoc, powiększonej o wysokość kwoty krajowych środków publicznych przeznaczonych na współfinansowanie tej pomocy, jednak nie więcej niż </w:t>
      </w:r>
      <w:r w:rsidRPr="004670FC">
        <w:rPr>
          <w:rFonts w:asciiTheme="minorHAnsi" w:eastAsia="Times New Roman" w:hAnsiTheme="minorHAnsi" w:cstheme="minorHAnsi"/>
          <w:b/>
          <w:bCs/>
          <w:sz w:val="24"/>
          <w:szCs w:val="24"/>
          <w:lang w:eastAsia="pl-PL"/>
        </w:rPr>
        <w:t>300 000 zł</w:t>
      </w:r>
      <w:r w:rsidR="007078A1">
        <w:rPr>
          <w:rFonts w:asciiTheme="minorHAnsi" w:eastAsia="Times New Roman" w:hAnsiTheme="minorHAnsi" w:cstheme="minorHAnsi"/>
          <w:sz w:val="24"/>
          <w:szCs w:val="24"/>
          <w:lang w:eastAsia="pl-PL"/>
        </w:rPr>
        <w:t xml:space="preserve"> na jednego wnioskodawcę.</w:t>
      </w:r>
    </w:p>
    <w:p w:rsidR="004670FC" w:rsidRPr="004670FC" w:rsidRDefault="004670FC" w:rsidP="004670FC">
      <w:pPr>
        <w:spacing w:before="100" w:beforeAutospacing="1" w:after="100" w:afterAutospacing="1"/>
        <w:rPr>
          <w:rFonts w:asciiTheme="minorHAnsi" w:eastAsia="Times New Roman" w:hAnsiTheme="minorHAnsi" w:cstheme="minorHAnsi"/>
          <w:sz w:val="28"/>
          <w:szCs w:val="24"/>
          <w:lang w:eastAsia="pl-PL"/>
        </w:rPr>
      </w:pP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*Art.95 ust. 1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Państwa członkowskie stosują maksymalną intensywność pomocy publicznej w wysokości 50 % całkowitych kwalifikowalnych wydatków związanych z daną operacją.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*Art. 95 ust. 3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>Na zasadzie odstępstwa od ust. 1 państwa członkowskie mogą stosować intensywność pomocy publicznej w wysokości między 50 % a 100 % całkowitych kwalifikowalnych wydatków gdy: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  <w:t xml:space="preserve">a) operację przeprowadza się na podstawie tytułu V rozdziały I, II, lub IV 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i spełnia ona wszystkie poniższe kryteria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: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(i) jest w interesie zbiorowym;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br/>
        <w:t>(ii) ma zbiorowego beneficjenta;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br/>
        <w:t>(iii) projekt ma innowacyjne właściwości, w stosownych przypadkach, na szczeblu lokalnym.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br/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lastRenderedPageBreak/>
        <w:t xml:space="preserve">b) operację przeprowadza się na podstawie tytułu V rozdział III, spełnia ona jedno z kryteriów, o których mowa lit. a) </w:t>
      </w:r>
      <w:proofErr w:type="spellStart"/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ppkt</w:t>
      </w:r>
      <w:proofErr w:type="spellEnd"/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 xml:space="preserve"> (i), (ii) lub (iii) niniejszego ustępu, a także </w:t>
      </w:r>
      <w:r w:rsidRPr="004670FC">
        <w:rPr>
          <w:rFonts w:asciiTheme="minorHAnsi" w:eastAsia="Times New Roman" w:hAnsiTheme="minorHAnsi" w:cstheme="minorHAnsi"/>
          <w:b/>
          <w:bCs/>
          <w:i/>
          <w:iCs/>
          <w:sz w:val="16"/>
          <w:szCs w:val="14"/>
          <w:lang w:eastAsia="pl-PL"/>
        </w:rPr>
        <w:t>zapewnia publiczny dostęp do jej wyników</w:t>
      </w:r>
      <w:r w:rsidRPr="004670FC">
        <w:rPr>
          <w:rFonts w:asciiTheme="minorHAnsi" w:eastAsia="Times New Roman" w:hAnsiTheme="minorHAnsi" w:cstheme="minorHAnsi"/>
          <w:i/>
          <w:iCs/>
          <w:sz w:val="16"/>
          <w:szCs w:val="14"/>
          <w:lang w:eastAsia="pl-PL"/>
        </w:rPr>
        <w:t>.</w:t>
      </w:r>
    </w:p>
    <w:p w:rsidR="008E4312" w:rsidRDefault="008E4312"/>
    <w:p w:rsidR="00C02B49" w:rsidRPr="00C02B49" w:rsidRDefault="00C02B49">
      <w:pPr>
        <w:rPr>
          <w:b/>
        </w:rPr>
      </w:pPr>
      <w:r w:rsidRPr="00C02B49">
        <w:rPr>
          <w:b/>
        </w:rPr>
        <w:t>KOSZTY NIEKWALIFIKOWA</w:t>
      </w:r>
      <w:r w:rsidR="00A44F1B">
        <w:rPr>
          <w:b/>
        </w:rPr>
        <w:t>L</w:t>
      </w:r>
      <w:r w:rsidRPr="00C02B49">
        <w:rPr>
          <w:b/>
        </w:rPr>
        <w:t>NE</w:t>
      </w:r>
      <w:r w:rsidR="005862D9">
        <w:rPr>
          <w:b/>
        </w:rPr>
        <w:t>:</w:t>
      </w:r>
    </w:p>
    <w:p w:rsidR="00C02B49" w:rsidRPr="00C02B49" w:rsidRDefault="00C02B49" w:rsidP="00C02B49">
      <w:r>
        <w:t>1) zakup</w:t>
      </w:r>
      <w:r w:rsidRPr="00C02B49">
        <w:t xml:space="preserve"> używanych maszyn, urządzeń lub innego sprzętu; </w:t>
      </w:r>
    </w:p>
    <w:p w:rsidR="00C02B49" w:rsidRPr="00C02B49" w:rsidRDefault="00A44F1B" w:rsidP="00C02B49">
      <w:r>
        <w:t>2) nabycie</w:t>
      </w:r>
      <w:r w:rsidR="00C02B49" w:rsidRPr="00C02B49">
        <w:t xml:space="preserve"> gruntu, budynku, budowli lub prawa do dysponowania nimi;</w:t>
      </w:r>
    </w:p>
    <w:p w:rsidR="00C02B49" w:rsidRPr="00C02B49" w:rsidRDefault="00A44F1B" w:rsidP="00C02B49">
      <w:r>
        <w:t>3) nakłady</w:t>
      </w:r>
      <w:r w:rsidR="004D309A">
        <w:t xml:space="preserve"> rzeczowe</w:t>
      </w:r>
      <w:r w:rsidR="00C02B49" w:rsidRPr="00C02B49">
        <w:t>;</w:t>
      </w:r>
    </w:p>
    <w:p w:rsidR="00C02B49" w:rsidRPr="00C02B49" w:rsidRDefault="00A44F1B" w:rsidP="00C02B49">
      <w:r>
        <w:t>4) praca wła</w:t>
      </w:r>
      <w:r w:rsidR="005862D9">
        <w:t>sna wykonywana</w:t>
      </w:r>
      <w:r w:rsidR="00C02B49" w:rsidRPr="00C02B49">
        <w:t xml:space="preserve"> przez beneficjenta będącego oso</w:t>
      </w:r>
      <w:r w:rsidR="005862D9">
        <w:t>bą fizyczną i praca</w:t>
      </w:r>
      <w:r w:rsidR="00C02B49" w:rsidRPr="00C02B49">
        <w:t xml:space="preserve"> wolontariuszy;</w:t>
      </w:r>
    </w:p>
    <w:p w:rsidR="00C02B49" w:rsidRPr="00C02B49" w:rsidRDefault="00C02B49" w:rsidP="00C02B49">
      <w:r w:rsidRPr="00C02B49">
        <w:t xml:space="preserve">5) </w:t>
      </w:r>
      <w:r w:rsidR="005862D9">
        <w:t xml:space="preserve"> koszty </w:t>
      </w:r>
      <w:r w:rsidRPr="00C02B49">
        <w:t xml:space="preserve">ogólne realizacji operacji, w tym honoraria architektów, inżynierów, opłaty za konsultacje, opłaty za doradztwo w zakresie przygotowania przez wnioskodawcę dokumentacji niezbędnej do przyznania i rozliczenia pomocy , w tym studia wykonalności, koszty połączeń telefonicznych, opłaty za zużytą wodę, energię elektryczną i nośniki energii,: </w:t>
      </w:r>
    </w:p>
    <w:p w:rsidR="00C02B49" w:rsidRPr="00C02B49" w:rsidRDefault="00C02B49" w:rsidP="00C02B49">
      <w:r w:rsidRPr="00C02B49">
        <w:tab/>
        <w:t>a) powyżej 10 % wartości netto operacji,</w:t>
      </w:r>
    </w:p>
    <w:p w:rsidR="00C02B49" w:rsidRPr="00C02B49" w:rsidRDefault="00C02B49" w:rsidP="00C02B49">
      <w:r w:rsidRPr="00C02B49">
        <w:tab/>
        <w:t>b) które nie miały bezpośredniego związku z realizacją operacji,</w:t>
      </w:r>
    </w:p>
    <w:p w:rsidR="00C02B49" w:rsidRPr="00C02B49" w:rsidRDefault="00C02B49" w:rsidP="00C02B49">
      <w:r w:rsidRPr="00C02B49">
        <w:tab/>
        <w:t xml:space="preserve">c) które zostały naliczone i wykazane niezgodnie ze sposobem określonym w umowie o </w:t>
      </w:r>
      <w:r w:rsidRPr="00C02B49">
        <w:tab/>
        <w:t>dofinansowanie;</w:t>
      </w:r>
    </w:p>
    <w:p w:rsidR="00C02B49" w:rsidRPr="00C02B49" w:rsidRDefault="005862D9" w:rsidP="00C02B49">
      <w:r>
        <w:t xml:space="preserve">6) </w:t>
      </w:r>
      <w:r w:rsidR="004D309A">
        <w:t xml:space="preserve">koszty </w:t>
      </w:r>
      <w:r>
        <w:t xml:space="preserve">związane </w:t>
      </w:r>
      <w:r w:rsidR="00C02B49" w:rsidRPr="00C02B49">
        <w:t>z umową leasingu, w której brak jest postanowień przenoszących na beneficjenta własność rzeczy będących przedmiotem leasingu;</w:t>
      </w:r>
    </w:p>
    <w:p w:rsidR="00C02B49" w:rsidRPr="00C02B49" w:rsidRDefault="005862D9" w:rsidP="00C02B49">
      <w:r>
        <w:t>7) odsetki</w:t>
      </w:r>
      <w:r w:rsidR="00C02B49" w:rsidRPr="00C02B49">
        <w:t>, opłat</w:t>
      </w:r>
      <w:r>
        <w:t>y ubezpieczeniowe, marży finansującego, koszty ogólnych związane</w:t>
      </w:r>
      <w:r w:rsidR="00C02B49" w:rsidRPr="00C02B49">
        <w:t xml:space="preserve"> z umową</w:t>
      </w:r>
      <w:r>
        <w:t xml:space="preserve"> leasingu, w tym również podatek</w:t>
      </w:r>
      <w:r w:rsidR="00C02B49" w:rsidRPr="00C02B49">
        <w:t xml:space="preserve"> od towarów i usług (VAT);</w:t>
      </w:r>
    </w:p>
    <w:p w:rsidR="00C02B49" w:rsidRPr="00C02B49" w:rsidRDefault="00C02B49" w:rsidP="00C02B49">
      <w:r w:rsidRPr="00C02B49">
        <w:t>8) amortyzacj</w:t>
      </w:r>
      <w:r w:rsidR="005862D9">
        <w:t>a</w:t>
      </w:r>
      <w:r w:rsidRPr="00C02B49">
        <w:t xml:space="preserve"> środków trwałych;</w:t>
      </w:r>
    </w:p>
    <w:p w:rsidR="00C02B49" w:rsidRPr="00C02B49" w:rsidRDefault="005862D9" w:rsidP="00C02B49">
      <w:r>
        <w:t xml:space="preserve">9) </w:t>
      </w:r>
      <w:r w:rsidR="004D309A">
        <w:t xml:space="preserve">koszty </w:t>
      </w:r>
      <w:r>
        <w:t>związane</w:t>
      </w:r>
      <w:r w:rsidR="00C02B49" w:rsidRPr="00C02B49">
        <w:t xml:space="preserve"> z konserwacją obiektów kultu religijnego i cmentarzy.</w:t>
      </w:r>
    </w:p>
    <w:p w:rsidR="00C02B49" w:rsidRDefault="00C02B49"/>
    <w:sectPr w:rsidR="00C02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1814D5"/>
    <w:multiLevelType w:val="multilevel"/>
    <w:tmpl w:val="A322E5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D12E6C"/>
    <w:multiLevelType w:val="multilevel"/>
    <w:tmpl w:val="3ED257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B61E14"/>
    <w:multiLevelType w:val="multilevel"/>
    <w:tmpl w:val="510A7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CD90864"/>
    <w:multiLevelType w:val="multilevel"/>
    <w:tmpl w:val="494662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F34B3D"/>
    <w:multiLevelType w:val="multilevel"/>
    <w:tmpl w:val="51745F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107399F"/>
    <w:multiLevelType w:val="multilevel"/>
    <w:tmpl w:val="A70A95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1E20AD2"/>
    <w:multiLevelType w:val="multilevel"/>
    <w:tmpl w:val="AB380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2F9119BB"/>
    <w:multiLevelType w:val="multilevel"/>
    <w:tmpl w:val="B9A0A8B4"/>
    <w:lvl w:ilvl="0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088"/>
        </w:tabs>
        <w:ind w:left="3088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808"/>
        </w:tabs>
        <w:ind w:left="3808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248"/>
        </w:tabs>
        <w:ind w:left="5248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968"/>
        </w:tabs>
        <w:ind w:left="5968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0DF1001"/>
    <w:multiLevelType w:val="multilevel"/>
    <w:tmpl w:val="76A62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39CD2557"/>
    <w:multiLevelType w:val="multilevel"/>
    <w:tmpl w:val="5A04B3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3A494B14"/>
    <w:multiLevelType w:val="multilevel"/>
    <w:tmpl w:val="EAFA3E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3A5E7A72"/>
    <w:multiLevelType w:val="multilevel"/>
    <w:tmpl w:val="513C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493530DA"/>
    <w:multiLevelType w:val="multilevel"/>
    <w:tmpl w:val="C9263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D91675E"/>
    <w:multiLevelType w:val="multilevel"/>
    <w:tmpl w:val="B44C70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73F2E31"/>
    <w:multiLevelType w:val="multilevel"/>
    <w:tmpl w:val="A712E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FEB5A94"/>
    <w:multiLevelType w:val="multilevel"/>
    <w:tmpl w:val="4F641E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70C62E0C"/>
    <w:multiLevelType w:val="multilevel"/>
    <w:tmpl w:val="7F905D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733D2CF1"/>
    <w:multiLevelType w:val="multilevel"/>
    <w:tmpl w:val="D00840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79B270A5"/>
    <w:multiLevelType w:val="multilevel"/>
    <w:tmpl w:val="98C65E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7"/>
  </w:num>
  <w:num w:numId="2">
    <w:abstractNumId w:val="8"/>
  </w:num>
  <w:num w:numId="3">
    <w:abstractNumId w:val="18"/>
  </w:num>
  <w:num w:numId="4">
    <w:abstractNumId w:val="1"/>
  </w:num>
  <w:num w:numId="5">
    <w:abstractNumId w:val="6"/>
  </w:num>
  <w:num w:numId="6">
    <w:abstractNumId w:val="12"/>
  </w:num>
  <w:num w:numId="7">
    <w:abstractNumId w:val="10"/>
  </w:num>
  <w:num w:numId="8">
    <w:abstractNumId w:val="14"/>
  </w:num>
  <w:num w:numId="9">
    <w:abstractNumId w:val="13"/>
  </w:num>
  <w:num w:numId="10">
    <w:abstractNumId w:val="16"/>
  </w:num>
  <w:num w:numId="11">
    <w:abstractNumId w:val="7"/>
  </w:num>
  <w:num w:numId="12">
    <w:abstractNumId w:val="2"/>
  </w:num>
  <w:num w:numId="13">
    <w:abstractNumId w:val="0"/>
  </w:num>
  <w:num w:numId="14">
    <w:abstractNumId w:val="15"/>
  </w:num>
  <w:num w:numId="15">
    <w:abstractNumId w:val="11"/>
  </w:num>
  <w:num w:numId="16">
    <w:abstractNumId w:val="4"/>
  </w:num>
  <w:num w:numId="17">
    <w:abstractNumId w:val="5"/>
  </w:num>
  <w:num w:numId="18">
    <w:abstractNumId w:val="9"/>
  </w:num>
  <w:num w:numId="1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0FC"/>
    <w:rsid w:val="0016555E"/>
    <w:rsid w:val="001B6A30"/>
    <w:rsid w:val="001F1EEA"/>
    <w:rsid w:val="002245C3"/>
    <w:rsid w:val="004670FC"/>
    <w:rsid w:val="00483D8D"/>
    <w:rsid w:val="004932DB"/>
    <w:rsid w:val="004D309A"/>
    <w:rsid w:val="004E1735"/>
    <w:rsid w:val="005862D9"/>
    <w:rsid w:val="006E3966"/>
    <w:rsid w:val="007078A1"/>
    <w:rsid w:val="008E4312"/>
    <w:rsid w:val="00A44F1B"/>
    <w:rsid w:val="00B437DF"/>
    <w:rsid w:val="00B458D4"/>
    <w:rsid w:val="00C02B49"/>
    <w:rsid w:val="00CC32E1"/>
    <w:rsid w:val="00DD0AAD"/>
    <w:rsid w:val="00FF4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28B033-0A8F-4DAA-8871-F28328C3EC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0AAD"/>
    <w:pPr>
      <w:spacing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4298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1790</Words>
  <Characters>10744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TE;ewaszczukocka@miedzynidaapilica.pl</dc:creator>
  <cp:lastModifiedBy>ŚRLGD .</cp:lastModifiedBy>
  <cp:revision>2</cp:revision>
  <dcterms:created xsi:type="dcterms:W3CDTF">2020-02-26T13:36:00Z</dcterms:created>
  <dcterms:modified xsi:type="dcterms:W3CDTF">2020-02-26T13:36:00Z</dcterms:modified>
</cp:coreProperties>
</file>